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81" w:rsidRDefault="00B61B81" w:rsidP="00B61B81">
      <w:pPr>
        <w:rPr>
          <w:rFonts w:ascii="黑体" w:eastAsia="黑体" w:hAnsi="黑体" w:cs="黑体" w:hint="eastAsia"/>
          <w:szCs w:val="32"/>
        </w:rPr>
      </w:pPr>
      <w:r>
        <w:rPr>
          <w:rFonts w:ascii="黑体" w:eastAsia="黑体" w:hAnsi="黑体" w:cs="黑体" w:hint="eastAsia"/>
          <w:szCs w:val="32"/>
        </w:rPr>
        <w:t>附件</w:t>
      </w:r>
    </w:p>
    <w:p w:rsidR="00B61B81" w:rsidRDefault="00B61B81" w:rsidP="00B61B81">
      <w:pPr>
        <w:jc w:val="center"/>
        <w:rPr>
          <w:rFonts w:ascii="黑体" w:eastAsia="黑体" w:hAnsi="黑体" w:cs="黑体" w:hint="eastAsia"/>
          <w:szCs w:val="32"/>
        </w:rPr>
      </w:pPr>
      <w:r>
        <w:rPr>
          <w:rFonts w:ascii="方正小标宋简体" w:eastAsia="方正小标宋简体" w:hAnsi="方正小标宋简体" w:cs="方正小标宋简体" w:hint="eastAsia"/>
          <w:sz w:val="44"/>
          <w:szCs w:val="44"/>
        </w:rPr>
        <w:t>平罗县推进乡镇综合行政执法改革重点任务分工表</w:t>
      </w:r>
    </w:p>
    <w:tbl>
      <w:tblPr>
        <w:tblStyle w:val="a9"/>
        <w:tblW w:w="13130" w:type="dxa"/>
        <w:jc w:val="center"/>
        <w:tblInd w:w="0" w:type="dxa"/>
        <w:tblLook w:val="0000" w:firstRow="0" w:lastRow="0" w:firstColumn="0" w:lastColumn="0" w:noHBand="0" w:noVBand="0"/>
      </w:tblPr>
      <w:tblGrid>
        <w:gridCol w:w="456"/>
        <w:gridCol w:w="1562"/>
        <w:gridCol w:w="4746"/>
        <w:gridCol w:w="1906"/>
        <w:gridCol w:w="2161"/>
        <w:gridCol w:w="2299"/>
      </w:tblGrid>
      <w:tr w:rsidR="00B61B81" w:rsidTr="00CE3251">
        <w:trPr>
          <w:tblHeader/>
          <w:jc w:val="center"/>
        </w:trPr>
        <w:tc>
          <w:tcPr>
            <w:tcW w:w="456" w:type="dxa"/>
            <w:vAlign w:val="center"/>
          </w:tcPr>
          <w:p w:rsidR="00B61B81" w:rsidRDefault="00B61B81" w:rsidP="00CE3251">
            <w:pPr>
              <w:jc w:val="center"/>
              <w:rPr>
                <w:rFonts w:ascii="黑体" w:eastAsia="黑体" w:hAnsi="黑体" w:cs="黑体" w:hint="eastAsia"/>
                <w:sz w:val="24"/>
              </w:rPr>
            </w:pPr>
            <w:r>
              <w:rPr>
                <w:rFonts w:ascii="黑体" w:eastAsia="黑体" w:hAnsi="黑体" w:cs="黑体" w:hint="eastAsia"/>
                <w:sz w:val="24"/>
              </w:rPr>
              <w:t>序号</w:t>
            </w:r>
          </w:p>
        </w:tc>
        <w:tc>
          <w:tcPr>
            <w:tcW w:w="1562" w:type="dxa"/>
            <w:vAlign w:val="center"/>
          </w:tcPr>
          <w:p w:rsidR="00B61B81" w:rsidRDefault="00B61B81" w:rsidP="00CE3251">
            <w:pPr>
              <w:jc w:val="center"/>
              <w:rPr>
                <w:rFonts w:ascii="黑体" w:eastAsia="黑体" w:hAnsi="黑体" w:cs="黑体" w:hint="eastAsia"/>
                <w:sz w:val="24"/>
              </w:rPr>
            </w:pPr>
            <w:r>
              <w:rPr>
                <w:rFonts w:ascii="黑体" w:eastAsia="黑体" w:hAnsi="黑体" w:cs="黑体" w:hint="eastAsia"/>
                <w:sz w:val="24"/>
              </w:rPr>
              <w:t>主要任务</w:t>
            </w:r>
          </w:p>
        </w:tc>
        <w:tc>
          <w:tcPr>
            <w:tcW w:w="4746" w:type="dxa"/>
            <w:vAlign w:val="center"/>
          </w:tcPr>
          <w:p w:rsidR="00B61B81" w:rsidRDefault="00B61B81" w:rsidP="00CE3251">
            <w:pPr>
              <w:jc w:val="center"/>
              <w:rPr>
                <w:rFonts w:ascii="黑体" w:eastAsia="黑体" w:hAnsi="黑体" w:cs="黑体" w:hint="eastAsia"/>
                <w:sz w:val="24"/>
              </w:rPr>
            </w:pPr>
            <w:r>
              <w:rPr>
                <w:rFonts w:ascii="黑体" w:eastAsia="黑体" w:hAnsi="黑体" w:cs="黑体" w:hint="eastAsia"/>
                <w:sz w:val="24"/>
              </w:rPr>
              <w:t>推进措施</w:t>
            </w:r>
          </w:p>
        </w:tc>
        <w:tc>
          <w:tcPr>
            <w:tcW w:w="1906" w:type="dxa"/>
            <w:vAlign w:val="center"/>
          </w:tcPr>
          <w:p w:rsidR="00B61B81" w:rsidRDefault="00B61B81" w:rsidP="00CE3251">
            <w:pPr>
              <w:jc w:val="center"/>
              <w:rPr>
                <w:rFonts w:ascii="黑体" w:eastAsia="黑体" w:hAnsi="黑体" w:cs="黑体" w:hint="eastAsia"/>
                <w:sz w:val="24"/>
              </w:rPr>
            </w:pPr>
            <w:r>
              <w:rPr>
                <w:rFonts w:ascii="黑体" w:eastAsia="黑体" w:hAnsi="黑体" w:cs="黑体" w:hint="eastAsia"/>
                <w:sz w:val="24"/>
              </w:rPr>
              <w:t>牵头单位</w:t>
            </w:r>
          </w:p>
        </w:tc>
        <w:tc>
          <w:tcPr>
            <w:tcW w:w="2161" w:type="dxa"/>
            <w:vAlign w:val="center"/>
          </w:tcPr>
          <w:p w:rsidR="00B61B81" w:rsidRDefault="00B61B81" w:rsidP="00CE3251">
            <w:pPr>
              <w:jc w:val="center"/>
              <w:rPr>
                <w:rFonts w:ascii="黑体" w:eastAsia="黑体" w:hAnsi="黑体" w:cs="黑体" w:hint="eastAsia"/>
                <w:sz w:val="24"/>
              </w:rPr>
            </w:pPr>
            <w:r>
              <w:rPr>
                <w:rFonts w:ascii="黑体" w:eastAsia="黑体" w:hAnsi="黑体" w:cs="黑体" w:hint="eastAsia"/>
                <w:sz w:val="24"/>
              </w:rPr>
              <w:t>责任单位</w:t>
            </w:r>
          </w:p>
        </w:tc>
        <w:tc>
          <w:tcPr>
            <w:tcW w:w="2299" w:type="dxa"/>
            <w:vAlign w:val="center"/>
          </w:tcPr>
          <w:p w:rsidR="00B61B81" w:rsidRDefault="00B61B81" w:rsidP="00CE3251">
            <w:pPr>
              <w:jc w:val="center"/>
              <w:rPr>
                <w:rFonts w:ascii="黑体" w:eastAsia="黑体" w:hAnsi="黑体" w:cs="黑体" w:hint="eastAsia"/>
                <w:sz w:val="24"/>
              </w:rPr>
            </w:pPr>
            <w:r>
              <w:rPr>
                <w:rFonts w:ascii="黑体" w:eastAsia="黑体" w:hAnsi="黑体" w:cs="黑体" w:hint="eastAsia"/>
                <w:sz w:val="24"/>
              </w:rPr>
              <w:t>完成时限</w:t>
            </w:r>
          </w:p>
        </w:tc>
      </w:tr>
      <w:tr w:rsidR="00B61B81" w:rsidTr="00CE3251">
        <w:trPr>
          <w:trHeight w:val="1550"/>
          <w:jc w:val="center"/>
        </w:trPr>
        <w:tc>
          <w:tcPr>
            <w:tcW w:w="45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w:t>
            </w:r>
          </w:p>
        </w:tc>
        <w:tc>
          <w:tcPr>
            <w:tcW w:w="1562"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组建执法机构</w:t>
            </w:r>
          </w:p>
        </w:tc>
        <w:tc>
          <w:tcPr>
            <w:tcW w:w="4746" w:type="dxa"/>
            <w:vAlign w:val="center"/>
          </w:tcPr>
          <w:p w:rsidR="00B61B81" w:rsidRDefault="00B61B81" w:rsidP="00CE3251">
            <w:pPr>
              <w:spacing w:line="24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在乡镇组建综合执法办公室，将综合执法办公室作为综合行政执法平台，按照有关法律规定相对集中行使行政处罚权，以乡镇的名义开展行政执法工作，并接受相关行政执法部门的业务指导和监督，逐步实现基层一支队伍管执法。</w:t>
            </w:r>
          </w:p>
        </w:tc>
        <w:tc>
          <w:tcPr>
            <w:tcW w:w="190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县委编办、司法局</w:t>
            </w:r>
          </w:p>
        </w:tc>
        <w:tc>
          <w:tcPr>
            <w:tcW w:w="2161"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相关行政执法部门</w:t>
            </w: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各乡镇人民政府</w:t>
            </w:r>
          </w:p>
        </w:tc>
        <w:tc>
          <w:tcPr>
            <w:tcW w:w="2299" w:type="dxa"/>
            <w:vAlign w:val="center"/>
          </w:tcPr>
          <w:p w:rsidR="00B61B81" w:rsidRDefault="00B61B81" w:rsidP="00CE3251">
            <w:pPr>
              <w:spacing w:line="240" w:lineRule="exact"/>
              <w:jc w:val="center"/>
              <w:rPr>
                <w:rFonts w:ascii="仿宋_GB2312" w:eastAsia="仿宋_GB2312" w:hAnsi="仿宋_GB2312" w:cs="仿宋_GB2312" w:hint="eastAsia"/>
                <w:color w:val="000000"/>
                <w:sz w:val="21"/>
                <w:szCs w:val="21"/>
              </w:rPr>
            </w:pPr>
            <w:r>
              <w:rPr>
                <w:rFonts w:ascii="仿宋_GB2312" w:eastAsia="仿宋_GB2312" w:hAnsi="仿宋_GB2312" w:cs="仿宋_GB2312" w:hint="eastAsia"/>
                <w:sz w:val="21"/>
                <w:szCs w:val="21"/>
              </w:rPr>
              <w:t>2021年4月10日前</w:t>
            </w:r>
          </w:p>
        </w:tc>
      </w:tr>
      <w:tr w:rsidR="00B61B81" w:rsidTr="00CE3251">
        <w:trPr>
          <w:trHeight w:val="90"/>
          <w:jc w:val="center"/>
        </w:trPr>
        <w:tc>
          <w:tcPr>
            <w:tcW w:w="45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w:t>
            </w:r>
          </w:p>
        </w:tc>
        <w:tc>
          <w:tcPr>
            <w:tcW w:w="1562"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明确执法事项</w:t>
            </w:r>
          </w:p>
        </w:tc>
        <w:tc>
          <w:tcPr>
            <w:tcW w:w="4746" w:type="dxa"/>
            <w:vAlign w:val="center"/>
          </w:tcPr>
          <w:p w:rsidR="00B61B81" w:rsidRDefault="00B61B81" w:rsidP="00CE3251">
            <w:pPr>
              <w:spacing w:line="24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制定《乡镇行政执法事项清单》，明确相关行政执法部门下放各乡镇实施的行政执法事项，结合实际下放到各乡镇，做到能放则放、应放尽放，推进管理和执法重心下移。建立乡镇与各行政执法部门行政执法衔接配合、案件移送和统一指挥协调工作机制</w:t>
            </w:r>
            <w:r>
              <w:rPr>
                <w:rFonts w:ascii="仿宋_GB2312" w:eastAsia="仿宋_GB2312" w:hAnsi="仿宋_GB2312" w:cs="仿宋_GB2312" w:hint="eastAsia"/>
                <w:spacing w:val="-20"/>
                <w:sz w:val="21"/>
                <w:szCs w:val="21"/>
              </w:rPr>
              <w:t>，</w:t>
            </w:r>
            <w:r>
              <w:rPr>
                <w:rFonts w:ascii="仿宋_GB2312" w:eastAsia="仿宋_GB2312" w:hAnsi="仿宋_GB2312" w:cs="仿宋_GB2312" w:hint="eastAsia"/>
                <w:sz w:val="21"/>
                <w:szCs w:val="21"/>
              </w:rPr>
              <w:t>实现违法行为发现及时、执法迅速、监管到位</w:t>
            </w:r>
            <w:r>
              <w:rPr>
                <w:rFonts w:ascii="仿宋_GB2312" w:eastAsia="仿宋_GB2312" w:hAnsi="仿宋_GB2312" w:cs="仿宋_GB2312" w:hint="eastAsia"/>
                <w:b/>
                <w:bCs/>
                <w:sz w:val="21"/>
                <w:szCs w:val="21"/>
              </w:rPr>
              <w:t>。</w:t>
            </w:r>
          </w:p>
        </w:tc>
        <w:tc>
          <w:tcPr>
            <w:tcW w:w="190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县司法局</w:t>
            </w:r>
          </w:p>
        </w:tc>
        <w:tc>
          <w:tcPr>
            <w:tcW w:w="2161"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相关行政执法部门</w:t>
            </w: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各乡镇人民政府</w:t>
            </w:r>
          </w:p>
        </w:tc>
        <w:tc>
          <w:tcPr>
            <w:tcW w:w="2299"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2021年5月底前</w:t>
            </w:r>
          </w:p>
        </w:tc>
      </w:tr>
      <w:tr w:rsidR="00B61B81" w:rsidTr="00CE3251">
        <w:trPr>
          <w:trHeight w:val="90"/>
          <w:jc w:val="center"/>
        </w:trPr>
        <w:tc>
          <w:tcPr>
            <w:tcW w:w="45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w:t>
            </w:r>
          </w:p>
        </w:tc>
        <w:tc>
          <w:tcPr>
            <w:tcW w:w="1562"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规范执法标识</w:t>
            </w:r>
          </w:p>
        </w:tc>
        <w:tc>
          <w:tcPr>
            <w:tcW w:w="4746" w:type="dxa"/>
            <w:vAlign w:val="center"/>
          </w:tcPr>
          <w:p w:rsidR="00B61B81" w:rsidRDefault="00B61B81" w:rsidP="00CE3251">
            <w:pPr>
              <w:spacing w:line="24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结合各乡镇实际,配备行政执法车辆，统一各乡镇行政执法车辆标识、外观等，规范行政执法服装、装备和标志标识式样，经县推进基层整合审批服务执法力量改革领导小组审定后，由各乡镇组织实施。</w:t>
            </w:r>
          </w:p>
        </w:tc>
        <w:tc>
          <w:tcPr>
            <w:tcW w:w="190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县司法局、财政局</w:t>
            </w:r>
          </w:p>
        </w:tc>
        <w:tc>
          <w:tcPr>
            <w:tcW w:w="2161"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相关行政执法部门</w:t>
            </w: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各乡镇人民政府</w:t>
            </w:r>
          </w:p>
        </w:tc>
        <w:tc>
          <w:tcPr>
            <w:tcW w:w="2299"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2021年5月底前</w:t>
            </w:r>
          </w:p>
        </w:tc>
      </w:tr>
      <w:tr w:rsidR="00B61B81" w:rsidTr="00CE3251">
        <w:trPr>
          <w:trHeight w:val="1097"/>
          <w:jc w:val="center"/>
        </w:trPr>
        <w:tc>
          <w:tcPr>
            <w:tcW w:w="45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4</w:t>
            </w:r>
          </w:p>
        </w:tc>
        <w:tc>
          <w:tcPr>
            <w:tcW w:w="1562"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保障执法资源</w:t>
            </w:r>
          </w:p>
        </w:tc>
        <w:tc>
          <w:tcPr>
            <w:tcW w:w="4746" w:type="dxa"/>
            <w:vAlign w:val="center"/>
          </w:tcPr>
          <w:p w:rsidR="00B61B81" w:rsidRDefault="00B61B81" w:rsidP="00CE3251">
            <w:pPr>
              <w:spacing w:line="24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根据综合执法机构的设置情况，配备必需的办公设备，设置专门存放暂扣物品的场所，添置配备开展综合行政执法必需的服装、车辆和专业技术设备。</w:t>
            </w:r>
          </w:p>
        </w:tc>
        <w:tc>
          <w:tcPr>
            <w:tcW w:w="190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c>
          <w:tcPr>
            <w:tcW w:w="2161"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各乡镇人民政府</w:t>
            </w:r>
          </w:p>
        </w:tc>
        <w:tc>
          <w:tcPr>
            <w:tcW w:w="2299"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2021年5月底前</w:t>
            </w:r>
          </w:p>
        </w:tc>
      </w:tr>
      <w:tr w:rsidR="00B61B81" w:rsidTr="00CE3251">
        <w:trPr>
          <w:trHeight w:val="848"/>
          <w:jc w:val="center"/>
        </w:trPr>
        <w:tc>
          <w:tcPr>
            <w:tcW w:w="45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5</w:t>
            </w:r>
          </w:p>
        </w:tc>
        <w:tc>
          <w:tcPr>
            <w:tcW w:w="1562"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规范执法证件</w:t>
            </w:r>
          </w:p>
        </w:tc>
        <w:tc>
          <w:tcPr>
            <w:tcW w:w="4746" w:type="dxa"/>
            <w:vAlign w:val="center"/>
          </w:tcPr>
          <w:p w:rsidR="00B61B81" w:rsidRDefault="00B61B81" w:rsidP="00CE3251">
            <w:pPr>
              <w:spacing w:line="24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新调入乡镇和乡镇原有的行政执法人员及时换发行政执法证件。未取得执法资格的人员，统一参加行政执法资格考试，考试合格的，按程序申领行政执法证件。</w:t>
            </w:r>
          </w:p>
        </w:tc>
        <w:tc>
          <w:tcPr>
            <w:tcW w:w="190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县司法局</w:t>
            </w:r>
          </w:p>
        </w:tc>
        <w:tc>
          <w:tcPr>
            <w:tcW w:w="2161" w:type="dxa"/>
            <w:vAlign w:val="center"/>
          </w:tcPr>
          <w:p w:rsidR="00B61B81" w:rsidRDefault="00B61B81" w:rsidP="00CE3251">
            <w:pPr>
              <w:spacing w:line="240" w:lineRule="exact"/>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各乡镇人民政府</w:t>
            </w:r>
          </w:p>
        </w:tc>
        <w:tc>
          <w:tcPr>
            <w:tcW w:w="2299"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2021年5月底前</w:t>
            </w:r>
          </w:p>
        </w:tc>
      </w:tr>
      <w:tr w:rsidR="00B61B81" w:rsidTr="00CE3251">
        <w:trPr>
          <w:trHeight w:val="2918"/>
          <w:jc w:val="center"/>
        </w:trPr>
        <w:tc>
          <w:tcPr>
            <w:tcW w:w="45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6</w:t>
            </w:r>
          </w:p>
        </w:tc>
        <w:tc>
          <w:tcPr>
            <w:tcW w:w="1562" w:type="dxa"/>
          </w:tcPr>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规范执法行为</w:t>
            </w:r>
          </w:p>
        </w:tc>
        <w:tc>
          <w:tcPr>
            <w:tcW w:w="4746" w:type="dxa"/>
            <w:vAlign w:val="center"/>
          </w:tcPr>
          <w:p w:rsidR="00B61B81" w:rsidRDefault="00B61B81" w:rsidP="00CE3251">
            <w:pPr>
              <w:spacing w:line="24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全面推行行政执法公示制度，做到依据公开、决策公开、执行公开、结果公开、过程公开。全面推行行政执法全过程记录制度，实现全程留痕、可追溯、可追责。全面推行重大行政执法决定法制审核制度，作出重大执法决定前要进行法制审核，未经法制审核或审核未通过的，不得作出行政执法决定，确保重大执法决定合法适当。编制统一的行政执法格式文书；统一行政处罚流程，明确立案、调查取证、处罚决定、文书送达等岗位职责和时间节点。各相关县级行政执法部门要帮助指导各乡镇综合执法机构组织实施自由裁量标准。各乡镇执法机构在实施过程中，可以结合行政执法工作，提出符合乡镇实际的意见和建议，按照程序做好自由裁量权的细化和规范工作。</w:t>
            </w:r>
          </w:p>
        </w:tc>
        <w:tc>
          <w:tcPr>
            <w:tcW w:w="190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县司法局</w:t>
            </w:r>
          </w:p>
        </w:tc>
        <w:tc>
          <w:tcPr>
            <w:tcW w:w="2161"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各相关行政执法部门</w:t>
            </w: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各乡镇人民政府</w:t>
            </w:r>
          </w:p>
        </w:tc>
        <w:tc>
          <w:tcPr>
            <w:tcW w:w="2299"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2021年5月底前</w:t>
            </w:r>
          </w:p>
        </w:tc>
      </w:tr>
      <w:tr w:rsidR="00B61B81" w:rsidTr="00CE3251">
        <w:trPr>
          <w:trHeight w:val="1287"/>
          <w:jc w:val="center"/>
        </w:trPr>
        <w:tc>
          <w:tcPr>
            <w:tcW w:w="45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7</w:t>
            </w:r>
          </w:p>
        </w:tc>
        <w:tc>
          <w:tcPr>
            <w:tcW w:w="1562" w:type="dxa"/>
          </w:tcPr>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保障工作经费</w:t>
            </w:r>
          </w:p>
        </w:tc>
        <w:tc>
          <w:tcPr>
            <w:tcW w:w="4746" w:type="dxa"/>
            <w:vAlign w:val="center"/>
          </w:tcPr>
          <w:p w:rsidR="00B61B81" w:rsidRDefault="00B61B81" w:rsidP="00CE3251">
            <w:pPr>
              <w:spacing w:line="24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乡镇综合执法办公室由乡镇负责日常考核，人员经费、执法车辆、办公场所等所需经费列入财政预算。各乡镇罚没收入按照收支两条线管理，罚没收入上缴县财政，不得以任何形式将行政执法经费与罚没收入挂钩。</w:t>
            </w:r>
          </w:p>
        </w:tc>
        <w:tc>
          <w:tcPr>
            <w:tcW w:w="1906" w:type="dxa"/>
          </w:tcPr>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c>
          <w:tcPr>
            <w:tcW w:w="2161"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县财政局</w:t>
            </w: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各乡镇人民政府</w:t>
            </w:r>
          </w:p>
        </w:tc>
        <w:tc>
          <w:tcPr>
            <w:tcW w:w="2299"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长期坚持</w:t>
            </w:r>
          </w:p>
        </w:tc>
      </w:tr>
      <w:tr w:rsidR="00B61B81" w:rsidTr="00CE3251">
        <w:trPr>
          <w:trHeight w:val="1044"/>
          <w:jc w:val="center"/>
        </w:trPr>
        <w:tc>
          <w:tcPr>
            <w:tcW w:w="45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8</w:t>
            </w:r>
          </w:p>
        </w:tc>
        <w:tc>
          <w:tcPr>
            <w:tcW w:w="1562"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加强执法培训</w:t>
            </w:r>
          </w:p>
        </w:tc>
        <w:tc>
          <w:tcPr>
            <w:tcW w:w="4746" w:type="dxa"/>
            <w:vAlign w:val="center"/>
          </w:tcPr>
          <w:p w:rsidR="00B61B81" w:rsidRDefault="00B61B81" w:rsidP="00CE3251">
            <w:pPr>
              <w:spacing w:line="240" w:lineRule="exact"/>
              <w:rPr>
                <w:rFonts w:ascii="仿宋_GB2312" w:eastAsia="仿宋_GB2312" w:hAnsi="仿宋_GB2312" w:cs="仿宋_GB2312" w:hint="eastAsia"/>
                <w:b/>
                <w:bCs/>
                <w:sz w:val="21"/>
                <w:szCs w:val="21"/>
              </w:rPr>
            </w:pPr>
            <w:r>
              <w:rPr>
                <w:rFonts w:ascii="仿宋_GB2312" w:eastAsia="仿宋_GB2312" w:hAnsi="仿宋_GB2312" w:cs="仿宋_GB2312" w:hint="eastAsia"/>
                <w:sz w:val="21"/>
                <w:szCs w:val="21"/>
              </w:rPr>
              <w:t>根据各乡镇实际需求和行政执法专业技术要求，由各相关行政执法部门实施全员分类专项培训，规范执法检查、受立案、调查、审查、决定等程序和行为，全面推广应用宁夏行政执法监督平台。</w:t>
            </w:r>
          </w:p>
        </w:tc>
        <w:tc>
          <w:tcPr>
            <w:tcW w:w="190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县司法局</w:t>
            </w:r>
          </w:p>
        </w:tc>
        <w:tc>
          <w:tcPr>
            <w:tcW w:w="2161" w:type="dxa"/>
            <w:vAlign w:val="center"/>
          </w:tcPr>
          <w:p w:rsidR="00B61B81" w:rsidRDefault="00B61B81" w:rsidP="00CE3251">
            <w:pPr>
              <w:spacing w:line="24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各相关行政执法部门</w:t>
            </w: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各乡镇人民政府</w:t>
            </w:r>
          </w:p>
        </w:tc>
        <w:tc>
          <w:tcPr>
            <w:tcW w:w="2299"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长期坚持</w:t>
            </w:r>
          </w:p>
        </w:tc>
      </w:tr>
      <w:tr w:rsidR="00B61B81" w:rsidTr="00CE3251">
        <w:trPr>
          <w:trHeight w:val="1043"/>
          <w:jc w:val="center"/>
        </w:trPr>
        <w:tc>
          <w:tcPr>
            <w:tcW w:w="456"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9</w:t>
            </w:r>
          </w:p>
        </w:tc>
        <w:tc>
          <w:tcPr>
            <w:tcW w:w="1562" w:type="dxa"/>
          </w:tcPr>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强化执法监督</w:t>
            </w:r>
          </w:p>
        </w:tc>
        <w:tc>
          <w:tcPr>
            <w:tcW w:w="4746" w:type="dxa"/>
            <w:vAlign w:val="center"/>
          </w:tcPr>
          <w:p w:rsidR="00B61B81" w:rsidRDefault="00B61B81" w:rsidP="00CE3251">
            <w:pPr>
              <w:pStyle w:val="KMText"/>
              <w:spacing w:line="240" w:lineRule="exact"/>
              <w:jc w:val="both"/>
              <w:rPr>
                <w:rFonts w:ascii="仿宋_GB2312" w:eastAsia="仿宋_GB2312" w:hAnsi="仿宋_GB2312" w:cs="仿宋_GB2312" w:hint="eastAsia"/>
                <w:sz w:val="21"/>
                <w:szCs w:val="21"/>
                <w:lang w:val="en-US" w:eastAsia="zh-CN"/>
              </w:rPr>
            </w:pPr>
            <w:r>
              <w:rPr>
                <w:rFonts w:ascii="仿宋_GB2312" w:eastAsia="仿宋_GB2312" w:hAnsi="仿宋_GB2312" w:cs="仿宋_GB2312" w:hint="eastAsia"/>
                <w:spacing w:val="-6"/>
                <w:kern w:val="2"/>
                <w:sz w:val="21"/>
                <w:szCs w:val="21"/>
                <w:lang w:val="en-US" w:eastAsia="zh-CN"/>
              </w:rPr>
              <w:t>加强对行政执法工作的监督，开展执法评议、案卷评查，指导乡镇确定行政执法责任、建立责任追究机制，落实行政执法过错追责问责，并通过公布举报投诉电话等形式，主动接受社会各方监督，坚决整治执法腐败现象，推进行政执法规范化建设。</w:t>
            </w:r>
          </w:p>
        </w:tc>
        <w:tc>
          <w:tcPr>
            <w:tcW w:w="1906" w:type="dxa"/>
          </w:tcPr>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c>
          <w:tcPr>
            <w:tcW w:w="2161"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县司法局</w:t>
            </w: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县纪委监委</w:t>
            </w:r>
          </w:p>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各乡镇人民政府</w:t>
            </w:r>
          </w:p>
        </w:tc>
        <w:tc>
          <w:tcPr>
            <w:tcW w:w="2299" w:type="dxa"/>
            <w:vAlign w:val="center"/>
          </w:tcPr>
          <w:p w:rsidR="00B61B81" w:rsidRDefault="00B61B81" w:rsidP="00CE3251">
            <w:pPr>
              <w:spacing w:line="24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长期坚持</w:t>
            </w:r>
          </w:p>
        </w:tc>
      </w:tr>
    </w:tbl>
    <w:p w:rsidR="008420E9" w:rsidRPr="00B61B81" w:rsidRDefault="008420E9" w:rsidP="00B61B81">
      <w:bookmarkStart w:id="0" w:name="_GoBack"/>
      <w:bookmarkEnd w:id="0"/>
    </w:p>
    <w:sectPr w:rsidR="008420E9" w:rsidRPr="00B61B81" w:rsidSect="00100561">
      <w:pgSz w:w="16838" w:h="11906" w:orient="landscape" w:code="9"/>
      <w:pgMar w:top="1134" w:right="1134" w:bottom="1134" w:left="1134" w:header="851" w:footer="1418"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5A" w:rsidRDefault="001C445A" w:rsidP="00100561">
      <w:r>
        <w:separator/>
      </w:r>
    </w:p>
  </w:endnote>
  <w:endnote w:type="continuationSeparator" w:id="0">
    <w:p w:rsidR="001C445A" w:rsidRDefault="001C445A" w:rsidP="001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liss Light">
    <w:altName w:val="Segoe Print"/>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5A" w:rsidRDefault="001C445A" w:rsidP="00100561">
      <w:r>
        <w:separator/>
      </w:r>
    </w:p>
  </w:footnote>
  <w:footnote w:type="continuationSeparator" w:id="0">
    <w:p w:rsidR="001C445A" w:rsidRDefault="001C445A" w:rsidP="001005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BC856B"/>
    <w:multiLevelType w:val="singleLevel"/>
    <w:tmpl w:val="84BC856B"/>
    <w:lvl w:ilvl="0">
      <w:start w:val="1"/>
      <w:numFmt w:val="decimal"/>
      <w:lvlText w:val="%1."/>
      <w:lvlJc w:val="left"/>
      <w:pPr>
        <w:tabs>
          <w:tab w:val="left" w:pos="312"/>
        </w:tabs>
      </w:pPr>
    </w:lvl>
  </w:abstractNum>
  <w:abstractNum w:abstractNumId="1" w15:restartNumberingAfterBreak="0">
    <w:nsid w:val="910B395C"/>
    <w:multiLevelType w:val="singleLevel"/>
    <w:tmpl w:val="910B395C"/>
    <w:lvl w:ilvl="0">
      <w:start w:val="1"/>
      <w:numFmt w:val="decimal"/>
      <w:lvlText w:val="%1."/>
      <w:lvlJc w:val="left"/>
      <w:pPr>
        <w:tabs>
          <w:tab w:val="left" w:pos="312"/>
        </w:tabs>
      </w:pPr>
    </w:lvl>
  </w:abstractNum>
  <w:abstractNum w:abstractNumId="2" w15:restartNumberingAfterBreak="0">
    <w:nsid w:val="9821D4A5"/>
    <w:multiLevelType w:val="singleLevel"/>
    <w:tmpl w:val="9821D4A5"/>
    <w:lvl w:ilvl="0">
      <w:start w:val="1"/>
      <w:numFmt w:val="decimal"/>
      <w:lvlText w:val="%1."/>
      <w:lvlJc w:val="left"/>
      <w:pPr>
        <w:tabs>
          <w:tab w:val="left" w:pos="312"/>
        </w:tabs>
      </w:pPr>
    </w:lvl>
  </w:abstractNum>
  <w:abstractNum w:abstractNumId="3" w15:restartNumberingAfterBreak="0">
    <w:nsid w:val="A173E6D7"/>
    <w:multiLevelType w:val="singleLevel"/>
    <w:tmpl w:val="A173E6D7"/>
    <w:lvl w:ilvl="0">
      <w:start w:val="1"/>
      <w:numFmt w:val="decimal"/>
      <w:lvlText w:val="%1."/>
      <w:lvlJc w:val="left"/>
      <w:pPr>
        <w:tabs>
          <w:tab w:val="left" w:pos="312"/>
        </w:tabs>
      </w:pPr>
    </w:lvl>
  </w:abstractNum>
  <w:abstractNum w:abstractNumId="4" w15:restartNumberingAfterBreak="0">
    <w:nsid w:val="C9F128FC"/>
    <w:multiLevelType w:val="singleLevel"/>
    <w:tmpl w:val="C9F128FC"/>
    <w:lvl w:ilvl="0">
      <w:start w:val="1"/>
      <w:numFmt w:val="decimal"/>
      <w:lvlText w:val="%1."/>
      <w:lvlJc w:val="left"/>
      <w:pPr>
        <w:tabs>
          <w:tab w:val="left" w:pos="312"/>
        </w:tabs>
      </w:pPr>
    </w:lvl>
  </w:abstractNum>
  <w:abstractNum w:abstractNumId="5" w15:restartNumberingAfterBreak="0">
    <w:nsid w:val="F5FFE586"/>
    <w:multiLevelType w:val="singleLevel"/>
    <w:tmpl w:val="F5FFE586"/>
    <w:lvl w:ilvl="0">
      <w:start w:val="1"/>
      <w:numFmt w:val="decimal"/>
      <w:lvlText w:val="%1."/>
      <w:lvlJc w:val="left"/>
      <w:pPr>
        <w:tabs>
          <w:tab w:val="left" w:pos="312"/>
        </w:tabs>
      </w:pPr>
    </w:lvl>
  </w:abstractNum>
  <w:abstractNum w:abstractNumId="6" w15:restartNumberingAfterBreak="0">
    <w:nsid w:val="07C15B71"/>
    <w:multiLevelType w:val="singleLevel"/>
    <w:tmpl w:val="07C15B71"/>
    <w:lvl w:ilvl="0">
      <w:start w:val="1"/>
      <w:numFmt w:val="decimal"/>
      <w:lvlText w:val="%1."/>
      <w:lvlJc w:val="left"/>
      <w:pPr>
        <w:tabs>
          <w:tab w:val="left" w:pos="312"/>
        </w:tabs>
      </w:pPr>
    </w:lvl>
  </w:abstractNum>
  <w:abstractNum w:abstractNumId="7" w15:restartNumberingAfterBreak="0">
    <w:nsid w:val="3C0D7EFA"/>
    <w:multiLevelType w:val="singleLevel"/>
    <w:tmpl w:val="3C0D7EFA"/>
    <w:lvl w:ilvl="0">
      <w:start w:val="1"/>
      <w:numFmt w:val="decimal"/>
      <w:lvlText w:val="%1."/>
      <w:lvlJc w:val="left"/>
      <w:pPr>
        <w:tabs>
          <w:tab w:val="left" w:pos="312"/>
        </w:tabs>
      </w:pPr>
    </w:lvl>
  </w:abstractNum>
  <w:abstractNum w:abstractNumId="8" w15:restartNumberingAfterBreak="0">
    <w:nsid w:val="720AF3D2"/>
    <w:multiLevelType w:val="singleLevel"/>
    <w:tmpl w:val="720AF3D2"/>
    <w:lvl w:ilvl="0">
      <w:start w:val="1"/>
      <w:numFmt w:val="decimal"/>
      <w:lvlText w:val="%1."/>
      <w:lvlJc w:val="left"/>
      <w:pPr>
        <w:tabs>
          <w:tab w:val="left" w:pos="312"/>
        </w:tabs>
      </w:pPr>
    </w:lvl>
  </w:abstractNum>
  <w:abstractNum w:abstractNumId="9" w15:restartNumberingAfterBreak="0">
    <w:nsid w:val="7F7D5075"/>
    <w:multiLevelType w:val="singleLevel"/>
    <w:tmpl w:val="7F7D5075"/>
    <w:lvl w:ilvl="0">
      <w:start w:val="1"/>
      <w:numFmt w:val="decimal"/>
      <w:lvlText w:val="%1."/>
      <w:lvlJc w:val="left"/>
      <w:pPr>
        <w:tabs>
          <w:tab w:val="left" w:pos="312"/>
        </w:tabs>
      </w:pPr>
    </w:lvl>
  </w:abstractNum>
  <w:num w:numId="1">
    <w:abstractNumId w:val="1"/>
  </w:num>
  <w:num w:numId="2">
    <w:abstractNumId w:val="4"/>
  </w:num>
  <w:num w:numId="3">
    <w:abstractNumId w:val="3"/>
  </w:num>
  <w:num w:numId="4">
    <w:abstractNumId w:val="8"/>
  </w:num>
  <w:num w:numId="5">
    <w:abstractNumId w:val="7"/>
  </w:num>
  <w:num w:numId="6">
    <w:abstractNumId w:val="6"/>
  </w:num>
  <w:num w:numId="7">
    <w:abstractNumId w:val="5"/>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1B"/>
    <w:rsid w:val="00100561"/>
    <w:rsid w:val="001C445A"/>
    <w:rsid w:val="002015A3"/>
    <w:rsid w:val="002213BE"/>
    <w:rsid w:val="006C2D21"/>
    <w:rsid w:val="0078561B"/>
    <w:rsid w:val="008420E9"/>
    <w:rsid w:val="00B14ED1"/>
    <w:rsid w:val="00B61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05EA"/>
  <w15:chartTrackingRefBased/>
  <w15:docId w15:val="{0061260F-F9C5-40EA-A63A-F47583F6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00561"/>
    <w:pPr>
      <w:widowControl w:val="0"/>
      <w:jc w:val="both"/>
    </w:pPr>
    <w:rPr>
      <w:rFonts w:ascii="Times New Roman" w:eastAsia="宋体"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005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100561"/>
    <w:rPr>
      <w:sz w:val="18"/>
      <w:szCs w:val="18"/>
    </w:rPr>
  </w:style>
  <w:style w:type="paragraph" w:styleId="a6">
    <w:name w:val="footer"/>
    <w:basedOn w:val="a"/>
    <w:link w:val="a7"/>
    <w:uiPriority w:val="99"/>
    <w:unhideWhenUsed/>
    <w:rsid w:val="001005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100561"/>
    <w:rPr>
      <w:sz w:val="18"/>
      <w:szCs w:val="18"/>
    </w:rPr>
  </w:style>
  <w:style w:type="paragraph" w:customStyle="1" w:styleId="Char">
    <w:name w:val="Char"/>
    <w:basedOn w:val="a"/>
    <w:rsid w:val="00100561"/>
    <w:pPr>
      <w:tabs>
        <w:tab w:val="left" w:pos="4665"/>
        <w:tab w:val="left" w:pos="8970"/>
      </w:tabs>
      <w:ind w:firstLine="400"/>
    </w:pPr>
  </w:style>
  <w:style w:type="paragraph" w:styleId="a0">
    <w:name w:val="Plain Text"/>
    <w:basedOn w:val="a"/>
    <w:link w:val="a8"/>
    <w:uiPriority w:val="99"/>
    <w:semiHidden/>
    <w:unhideWhenUsed/>
    <w:rsid w:val="00100561"/>
    <w:rPr>
      <w:rFonts w:asciiTheme="minorEastAsia" w:eastAsiaTheme="minorEastAsia" w:hAnsi="Courier New" w:cs="Courier New"/>
    </w:rPr>
  </w:style>
  <w:style w:type="character" w:customStyle="1" w:styleId="a8">
    <w:name w:val="纯文本 字符"/>
    <w:basedOn w:val="a1"/>
    <w:link w:val="a0"/>
    <w:uiPriority w:val="99"/>
    <w:semiHidden/>
    <w:rsid w:val="00100561"/>
    <w:rPr>
      <w:rFonts w:asciiTheme="minorEastAsia" w:hAnsi="Courier New" w:cs="Courier New"/>
      <w:sz w:val="32"/>
      <w:szCs w:val="24"/>
    </w:rPr>
  </w:style>
  <w:style w:type="paragraph" w:customStyle="1" w:styleId="NormalIndent1">
    <w:name w:val="Normal Indent1"/>
    <w:basedOn w:val="a"/>
    <w:uiPriority w:val="99"/>
    <w:qFormat/>
    <w:rsid w:val="002213BE"/>
    <w:pPr>
      <w:ind w:firstLineChars="200" w:firstLine="200"/>
    </w:pPr>
    <w:rPr>
      <w:rFonts w:ascii="Calibri" w:hAnsi="Calibri" w:cs="黑体"/>
      <w:sz w:val="21"/>
    </w:rPr>
  </w:style>
  <w:style w:type="character" w:customStyle="1" w:styleId="font11">
    <w:name w:val="font11"/>
    <w:basedOn w:val="a1"/>
    <w:qFormat/>
    <w:rsid w:val="002213BE"/>
    <w:rPr>
      <w:rFonts w:ascii="仿宋_GB2312" w:eastAsia="仿宋_GB2312" w:cs="仿宋_GB2312" w:hint="eastAsia"/>
      <w:color w:val="000000"/>
      <w:sz w:val="24"/>
      <w:szCs w:val="24"/>
      <w:u w:val="none"/>
    </w:rPr>
  </w:style>
  <w:style w:type="paragraph" w:customStyle="1" w:styleId="KMText">
    <w:name w:val="KM_Text"/>
    <w:qFormat/>
    <w:rsid w:val="00B61B81"/>
    <w:pPr>
      <w:spacing w:line="284" w:lineRule="exact"/>
    </w:pPr>
    <w:rPr>
      <w:rFonts w:ascii="Bliss Light" w:eastAsia="宋体" w:hAnsi="Bliss Light" w:cs="Times New Roman"/>
      <w:kern w:val="0"/>
      <w:sz w:val="22"/>
      <w:lang w:val="de-DE" w:eastAsia="de-DE"/>
    </w:rPr>
  </w:style>
  <w:style w:type="table" w:styleId="a9">
    <w:name w:val="Table Grid"/>
    <w:basedOn w:val="a2"/>
    <w:qFormat/>
    <w:rsid w:val="00B61B8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1249</Characters>
  <Application>Microsoft Office Word</Application>
  <DocSecurity>0</DocSecurity>
  <Lines>10</Lines>
  <Paragraphs>2</Paragraphs>
  <ScaleCrop>false</ScaleCrop>
  <Company>Microsoft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4</cp:revision>
  <dcterms:created xsi:type="dcterms:W3CDTF">2021-09-01T02:56:00Z</dcterms:created>
  <dcterms:modified xsi:type="dcterms:W3CDTF">2021-09-01T03:30:00Z</dcterms:modified>
</cp:coreProperties>
</file>