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7BDA5" w14:textId="77777777" w:rsidR="00B11246" w:rsidRDefault="00B11246" w:rsidP="00B11246">
      <w:pPr>
        <w:pStyle w:val="2"/>
        <w:spacing w:after="0" w:line="600" w:lineRule="exact"/>
        <w:ind w:leftChars="0" w:left="0" w:firstLineChars="0" w:firstLine="0"/>
        <w:rPr>
          <w:rFonts w:ascii="黑体" w:hAnsi="黑体" w:cs="黑体"/>
          <w:b w:val="0"/>
          <w:sz w:val="32"/>
        </w:rPr>
      </w:pPr>
      <w:r>
        <w:rPr>
          <w:rFonts w:ascii="黑体" w:hAnsi="黑体" w:cs="黑体" w:hint="eastAsia"/>
          <w:b w:val="0"/>
          <w:sz w:val="32"/>
        </w:rPr>
        <w:t>附件1</w:t>
      </w:r>
    </w:p>
    <w:p w14:paraId="02D33597" w14:textId="77777777" w:rsidR="00B11246" w:rsidRDefault="00B11246" w:rsidP="00B11246">
      <w:pPr>
        <w:pStyle w:val="2"/>
        <w:spacing w:after="0" w:line="60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《实施意见》相关名词解释</w:t>
      </w:r>
    </w:p>
    <w:p w14:paraId="7BBBA2BD" w14:textId="77777777" w:rsidR="00B11246" w:rsidRDefault="00B11246" w:rsidP="00B11246">
      <w:pPr>
        <w:spacing w:line="4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685F3867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1.“四调四化”：</w:t>
      </w:r>
      <w:r>
        <w:rPr>
          <w:rFonts w:ascii="Times New Roman" w:eastAsia="仿宋_GB2312" w:hAnsi="Times New Roman" w:hint="eastAsia"/>
          <w:sz w:val="32"/>
          <w:szCs w:val="32"/>
        </w:rPr>
        <w:t>调优种养结构、调大经营规模、调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强加工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能力、调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长产业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链条，推进布局区域化、经营规模化、生产标准化、发展产业化。</w:t>
      </w:r>
    </w:p>
    <w:p w14:paraId="2803AF0C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2.“一带两区”：</w:t>
      </w:r>
      <w:r>
        <w:rPr>
          <w:rFonts w:ascii="Times New Roman" w:eastAsia="仿宋_GB2312" w:hAnsi="Times New Roman" w:hint="eastAsia"/>
          <w:sz w:val="32"/>
          <w:szCs w:val="32"/>
        </w:rPr>
        <w:t>黄河生态经济带、宁夏北部绿色发展区、河东国家现代农业科技创新示范区。</w:t>
      </w:r>
    </w:p>
    <w:p w14:paraId="305F1ADB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3.“四大改革”：</w:t>
      </w:r>
      <w:r>
        <w:rPr>
          <w:rFonts w:ascii="Times New Roman" w:eastAsia="仿宋_GB2312" w:hAnsi="Times New Roman" w:hint="eastAsia"/>
          <w:sz w:val="32"/>
          <w:szCs w:val="32"/>
        </w:rPr>
        <w:t>二轮土地延包试点改革、农村土地制度改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革、订单农业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+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保险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+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期货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+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融资试点改革、农村集体产权制度改革。</w:t>
      </w:r>
    </w:p>
    <w:p w14:paraId="4B95FF93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4.“五大工程”：</w:t>
      </w:r>
      <w:r>
        <w:rPr>
          <w:rFonts w:ascii="Times New Roman" w:eastAsia="仿宋_GB2312" w:hAnsi="Times New Roman" w:hint="eastAsia"/>
          <w:sz w:val="32"/>
          <w:szCs w:val="32"/>
        </w:rPr>
        <w:t>粮食供给安全保障工程、耕地质量保护提升工程、绿色产业培育工程、现代农业科技支撑工程、绿色品牌引领工程。</w:t>
      </w:r>
    </w:p>
    <w:p w14:paraId="547A9733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5.“四大提升行动”：</w:t>
      </w:r>
      <w:r>
        <w:rPr>
          <w:rFonts w:ascii="Times New Roman" w:eastAsia="仿宋_GB2312" w:hAnsi="Times New Roman" w:hint="eastAsia"/>
          <w:sz w:val="32"/>
          <w:szCs w:val="32"/>
        </w:rPr>
        <w:t>实施移民致富提升行动、城乡居民收入提升行动、基础教育质量提升行动、全民健康水平提升行动。</w:t>
      </w:r>
    </w:p>
    <w:p w14:paraId="7E074F79" w14:textId="77777777" w:rsidR="00B11246" w:rsidRDefault="00B11246" w:rsidP="00B11246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6.“</w:t>
      </w:r>
      <w:proofErr w:type="gramStart"/>
      <w:r>
        <w:rPr>
          <w:rFonts w:ascii="楷体_GB2312" w:eastAsia="楷体_GB2312" w:hAnsi="楷体_GB2312" w:cs="楷体_GB2312" w:hint="eastAsia"/>
          <w:b/>
          <w:sz w:val="32"/>
          <w:szCs w:val="32"/>
        </w:rPr>
        <w:t>三百三千</w:t>
      </w:r>
      <w:proofErr w:type="gramEnd"/>
      <w:r>
        <w:rPr>
          <w:rFonts w:ascii="楷体_GB2312" w:eastAsia="楷体_GB2312" w:hAnsi="楷体_GB2312" w:cs="楷体_GB2312" w:hint="eastAsia"/>
          <w:b/>
          <w:sz w:val="32"/>
          <w:szCs w:val="32"/>
        </w:rPr>
        <w:t>”科技服务行动：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组织100名自治区及市级副高级职称以上农技专家，遴选100家市级以上农业产业化龙头企业，建设100个自治区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级农业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技推广示范基地，联合技术集成攻关，开展农业先进实用技术集成转化应用；组织1000名县乡农技人员，遴选1000家农民合作社、农业企业，建设1000个县乡级农业科技推广示范基地，示范展示推广农业新品种、新模式、新技术、新机具，开展基层农技人员业务能力提升及农民培训。</w:t>
      </w:r>
    </w:p>
    <w:p w14:paraId="7980CDE3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7.“两次六分、四级联动”垃圾分类处理模式：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仿宋_GB2312" w:hint="eastAsia"/>
          <w:sz w:val="32"/>
          <w:szCs w:val="32"/>
        </w:rPr>
        <w:t>两次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仿宋_GB2312" w:hint="eastAsia"/>
          <w:sz w:val="32"/>
          <w:szCs w:val="32"/>
        </w:rPr>
        <w:t>，即农户</w:t>
      </w:r>
      <w:proofErr w:type="gramStart"/>
      <w:r>
        <w:rPr>
          <w:rFonts w:ascii="Times New Roman" w:eastAsia="仿宋_GB2312" w:hAnsi="仿宋_GB2312" w:hint="eastAsia"/>
          <w:sz w:val="32"/>
          <w:szCs w:val="32"/>
        </w:rPr>
        <w:t>初次对</w:t>
      </w:r>
      <w:proofErr w:type="gramEnd"/>
      <w:r>
        <w:rPr>
          <w:rFonts w:ascii="Times New Roman" w:eastAsia="仿宋_GB2312" w:hAnsi="仿宋_GB2312" w:hint="eastAsia"/>
          <w:sz w:val="32"/>
          <w:szCs w:val="32"/>
        </w:rPr>
        <w:t>可变卖、可喂牲畜等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仿宋_GB2312" w:hint="eastAsia"/>
          <w:sz w:val="32"/>
          <w:szCs w:val="32"/>
        </w:rPr>
        <w:t>有用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仿宋_GB2312" w:hint="eastAsia"/>
          <w:sz w:val="32"/>
          <w:szCs w:val="32"/>
        </w:rPr>
        <w:t>垃圾进行自主分类，剩余垃圾由乡镇保洁员进行二次分选分类；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仿宋_GB2312" w:hint="eastAsia"/>
          <w:sz w:val="32"/>
          <w:szCs w:val="32"/>
        </w:rPr>
        <w:t>六分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仿宋_GB2312" w:hint="eastAsia"/>
          <w:sz w:val="32"/>
          <w:szCs w:val="32"/>
        </w:rPr>
        <w:t>，即把农村生活垃</w:t>
      </w:r>
      <w:r>
        <w:rPr>
          <w:rFonts w:ascii="Times New Roman" w:eastAsia="仿宋_GB2312" w:hAnsi="仿宋_GB2312" w:hint="eastAsia"/>
          <w:sz w:val="32"/>
          <w:szCs w:val="32"/>
        </w:rPr>
        <w:lastRenderedPageBreak/>
        <w:t>圾分为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仿宋_GB2312" w:hint="eastAsia"/>
          <w:sz w:val="32"/>
          <w:szCs w:val="32"/>
        </w:rPr>
        <w:t>种基本类型，按类进行处置；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仿宋_GB2312" w:hint="eastAsia"/>
          <w:sz w:val="32"/>
          <w:szCs w:val="32"/>
        </w:rPr>
        <w:t>四级联动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仿宋_GB2312" w:hint="eastAsia"/>
          <w:sz w:val="32"/>
          <w:szCs w:val="32"/>
        </w:rPr>
        <w:t>，即从农户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仿宋_GB2312" w:hint="eastAsia"/>
          <w:sz w:val="32"/>
          <w:szCs w:val="32"/>
        </w:rPr>
        <w:t>村庄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仿宋_GB2312" w:hint="eastAsia"/>
          <w:sz w:val="32"/>
          <w:szCs w:val="32"/>
        </w:rPr>
        <w:t>乡镇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仿宋_GB2312" w:hint="eastAsia"/>
          <w:sz w:val="32"/>
          <w:szCs w:val="32"/>
        </w:rPr>
        <w:t>县城，统筹设置垃圾回收、存放、分选等各环节设施设备，形成科学经济、无缝衔接的收</w:t>
      </w:r>
      <w:proofErr w:type="gramStart"/>
      <w:r>
        <w:rPr>
          <w:rFonts w:ascii="Times New Roman" w:eastAsia="仿宋_GB2312" w:hAnsi="仿宋_GB2312" w:hint="eastAsia"/>
          <w:sz w:val="32"/>
          <w:szCs w:val="32"/>
        </w:rPr>
        <w:t>置网络</w:t>
      </w:r>
      <w:proofErr w:type="gramEnd"/>
      <w:r>
        <w:rPr>
          <w:rFonts w:ascii="Times New Roman" w:eastAsia="仿宋_GB2312" w:hAnsi="仿宋_GB2312" w:hint="eastAsia"/>
          <w:sz w:val="32"/>
          <w:szCs w:val="32"/>
        </w:rPr>
        <w:t>和工作链条。</w:t>
      </w:r>
    </w:p>
    <w:p w14:paraId="5D678442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8.领导干部“四个走遍”机制：</w:t>
      </w:r>
      <w:r>
        <w:rPr>
          <w:rFonts w:ascii="Times New Roman" w:eastAsia="仿宋_GB2312" w:hAnsi="Times New Roman" w:hint="eastAsia"/>
          <w:sz w:val="32"/>
          <w:szCs w:val="32"/>
        </w:rPr>
        <w:t>一个任期内，县委书记走遍所辖行政村；乡镇党委书记每年走遍所属的自然村和困难户，乡镇干部走遍分片包村的农户。</w:t>
      </w:r>
    </w:p>
    <w:p w14:paraId="6749CF7C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9.“三优”政策：</w:t>
      </w:r>
      <w:r>
        <w:rPr>
          <w:rFonts w:ascii="Times New Roman" w:eastAsia="仿宋_GB2312" w:hAnsi="Times New Roman" w:hint="eastAsia"/>
          <w:sz w:val="32"/>
          <w:szCs w:val="32"/>
        </w:rPr>
        <w:t>乡村干部工资待遇优厚、选拔使用优先、生活条件优待。</w:t>
      </w:r>
    </w:p>
    <w:p w14:paraId="15A9BD63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10.“村村享”平台：</w:t>
      </w:r>
      <w:r>
        <w:rPr>
          <w:rFonts w:ascii="Times New Roman" w:eastAsia="仿宋_GB2312" w:hAnsi="Times New Roman" w:hint="eastAsia"/>
          <w:sz w:val="32"/>
          <w:szCs w:val="32"/>
        </w:rPr>
        <w:t>中国电信利用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云网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优势自主研发的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数字乡村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综合信息服务平台，具有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智慧党建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应急指挥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精准扶贫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政务公开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便民服务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乡村特色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六大功能。</w:t>
      </w:r>
    </w:p>
    <w:p w14:paraId="2BD343AD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11.“四议两公开”：</w:t>
      </w:r>
      <w:r>
        <w:rPr>
          <w:rFonts w:ascii="Times New Roman" w:eastAsia="仿宋_GB2312" w:hAnsi="Times New Roman" w:hint="eastAsia"/>
          <w:sz w:val="32"/>
          <w:szCs w:val="32"/>
        </w:rPr>
        <w:t>村党组织提议、村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两委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会议商议、党员大会审议、村民会议或村民代表会议决议和决议公开、实施结果公开。</w:t>
      </w:r>
    </w:p>
    <w:p w14:paraId="62D80CFA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12.先行区“五个区”战略定位：</w:t>
      </w:r>
      <w:r>
        <w:rPr>
          <w:rFonts w:ascii="Times New Roman" w:eastAsia="仿宋_GB2312" w:hAnsi="Times New Roman" w:hint="eastAsia"/>
          <w:sz w:val="32"/>
          <w:szCs w:val="32"/>
        </w:rPr>
        <w:t>建设黄河流域生态保护和高质量发展先行区，重点做好河段堤防安全标准区、生态保护修复示范区、环境污染防治率先区、经济转型发展创新区、黄河文化传承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彰显区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五个区</w:t>
      </w:r>
      <w:r>
        <w:rPr>
          <w:rFonts w:ascii="Times New Roman" w:eastAsia="仿宋_GB2312" w:hAnsi="Times New Roman"/>
          <w:sz w:val="32"/>
          <w:szCs w:val="32"/>
        </w:rPr>
        <w:t>”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建设。</w:t>
      </w:r>
    </w:p>
    <w:p w14:paraId="1576B774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13.“一带三区”总体布局：</w:t>
      </w:r>
      <w:r>
        <w:rPr>
          <w:rFonts w:ascii="Times New Roman" w:eastAsia="仿宋_GB2312" w:hAnsi="Times New Roman" w:hint="eastAsia"/>
          <w:sz w:val="32"/>
          <w:szCs w:val="32"/>
        </w:rPr>
        <w:t>构建黄河生态经济带和北部绿色发展区、中部防沙治沙区、南部水源涵养区的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一带三区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生态生产生活总体布局。</w:t>
      </w:r>
    </w:p>
    <w:p w14:paraId="06688E73" w14:textId="77777777" w:rsidR="00B11246" w:rsidRDefault="00B11246" w:rsidP="00B11246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14.河湖“四乱”问题：</w:t>
      </w:r>
      <w:r>
        <w:rPr>
          <w:rFonts w:ascii="Times New Roman" w:eastAsia="仿宋_GB2312" w:hAnsi="Times New Roman" w:hint="eastAsia"/>
          <w:sz w:val="32"/>
          <w:szCs w:val="32"/>
        </w:rPr>
        <w:t>河湖乱占、乱采、乱堆、乱建问题。</w:t>
      </w:r>
    </w:p>
    <w:p w14:paraId="742D72D1" w14:textId="77777777" w:rsidR="00B11246" w:rsidRDefault="00B11246" w:rsidP="00B11246">
      <w:pPr>
        <w:pStyle w:val="a7"/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  <w:sectPr w:rsidR="00B11246">
          <w:pgSz w:w="11906" w:h="16838"/>
          <w:pgMar w:top="1984" w:right="1531" w:bottom="1474" w:left="1531" w:header="851" w:footer="1474" w:gutter="0"/>
          <w:cols w:space="0"/>
          <w:docGrid w:type="lines" w:linePitch="312"/>
        </w:sect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15.基层党建“六项行动”：</w:t>
      </w:r>
      <w:r>
        <w:rPr>
          <w:rFonts w:ascii="Times New Roman" w:eastAsia="仿宋_GB2312" w:hAnsi="Times New Roman" w:hint="eastAsia"/>
          <w:sz w:val="32"/>
          <w:szCs w:val="32"/>
        </w:rPr>
        <w:t>实施习近平新时代中国特色社会主义思想入脑入心、党建引领发展、党建制度落实落地、强化基础保障、党建优化提升、立标杆作表率六项行动</w:t>
      </w:r>
      <w:r>
        <w:rPr>
          <w:rFonts w:ascii="Times New Roman" w:eastAsia="仿宋_GB2312" w:hAnsi="仿宋_GB2312" w:hint="eastAsia"/>
          <w:sz w:val="32"/>
          <w:szCs w:val="32"/>
        </w:rPr>
        <w:t>。</w:t>
      </w:r>
    </w:p>
    <w:p w14:paraId="72337398" w14:textId="77777777" w:rsidR="008420E9" w:rsidRPr="00B11246" w:rsidRDefault="008420E9">
      <w:bookmarkStart w:id="0" w:name="_GoBack"/>
      <w:bookmarkEnd w:id="0"/>
    </w:p>
    <w:sectPr w:rsidR="008420E9" w:rsidRPr="00B11246" w:rsidSect="00B11246">
      <w:pgSz w:w="11906" w:h="16838" w:code="9"/>
      <w:pgMar w:top="1134" w:right="1701" w:bottom="1134" w:left="1701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956B" w14:textId="77777777" w:rsidR="00E61ADD" w:rsidRDefault="00E61ADD" w:rsidP="00B11246">
      <w:r>
        <w:separator/>
      </w:r>
    </w:p>
  </w:endnote>
  <w:endnote w:type="continuationSeparator" w:id="0">
    <w:p w14:paraId="6C87E412" w14:textId="77777777" w:rsidR="00E61ADD" w:rsidRDefault="00E61ADD" w:rsidP="00B1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C8B9" w14:textId="77777777" w:rsidR="00E61ADD" w:rsidRDefault="00E61ADD" w:rsidP="00B11246">
      <w:r>
        <w:separator/>
      </w:r>
    </w:p>
  </w:footnote>
  <w:footnote w:type="continuationSeparator" w:id="0">
    <w:p w14:paraId="575D2A00" w14:textId="77777777" w:rsidR="00E61ADD" w:rsidRDefault="00E61ADD" w:rsidP="00B1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E3"/>
    <w:rsid w:val="006C2D21"/>
    <w:rsid w:val="008420E9"/>
    <w:rsid w:val="00B11246"/>
    <w:rsid w:val="00E61ADD"/>
    <w:rsid w:val="00E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868CE"/>
  <w15:chartTrackingRefBased/>
  <w15:docId w15:val="{3F6DE3D5-91FF-44E3-AAD2-52233F6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2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246"/>
    <w:rPr>
      <w:sz w:val="18"/>
      <w:szCs w:val="18"/>
    </w:rPr>
  </w:style>
  <w:style w:type="paragraph" w:styleId="a7">
    <w:name w:val="Balloon Text"/>
    <w:basedOn w:val="a"/>
    <w:link w:val="a8"/>
    <w:uiPriority w:val="99"/>
    <w:qFormat/>
    <w:rsid w:val="00B1124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sid w:val="00B11246"/>
    <w:rPr>
      <w:rFonts w:ascii="Calibri" w:eastAsia="宋体" w:hAnsi="Calibr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B11246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B1124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9"/>
    <w:next w:val="a7"/>
    <w:link w:val="20"/>
    <w:uiPriority w:val="99"/>
    <w:qFormat/>
    <w:rsid w:val="00B11246"/>
    <w:pPr>
      <w:ind w:left="200" w:firstLineChars="200" w:firstLine="420"/>
    </w:pPr>
    <w:rPr>
      <w:rFonts w:ascii="Times New Roman" w:eastAsia="黑体" w:hAnsi="仿宋"/>
      <w:b/>
      <w:szCs w:val="32"/>
    </w:rPr>
  </w:style>
  <w:style w:type="character" w:customStyle="1" w:styleId="20">
    <w:name w:val="正文文本首行缩进 2 字符"/>
    <w:basedOn w:val="aa"/>
    <w:link w:val="2"/>
    <w:uiPriority w:val="99"/>
    <w:qFormat/>
    <w:rsid w:val="00B11246"/>
    <w:rPr>
      <w:rFonts w:ascii="Times New Roman" w:eastAsia="黑体" w:hAnsi="仿宋" w:cs="Times New Roman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NEWS</dc:creator>
  <cp:keywords/>
  <dc:description/>
  <cp:lastModifiedBy>NX NEWS</cp:lastModifiedBy>
  <cp:revision>2</cp:revision>
  <dcterms:created xsi:type="dcterms:W3CDTF">2021-03-29T07:50:00Z</dcterms:created>
  <dcterms:modified xsi:type="dcterms:W3CDTF">2021-03-29T07:50:00Z</dcterms:modified>
</cp:coreProperties>
</file>